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Arial" w:hAnsi="Arial" w:cs="Arial"/>
                <w:b/>
                <w:b/>
                <w:caps/>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jc w:val="center"/>
              <w:rPr>
                <w:rFonts w:ascii="Arial" w:hAnsi="Arial" w:cs="Arial"/>
                <w:b/>
                <w:b/>
                <w:caps/>
                <w:sz w:val="20"/>
                <w:szCs w:val="20"/>
              </w:rPr>
            </w:pPr>
            <w:r>
              <w:rPr>
                <w:rFonts w:cs="Arial" w:ascii="Arial" w:hAnsi="Arial"/>
                <w:b/>
                <w:caps/>
                <w:sz w:val="20"/>
                <w:szCs w:val="20"/>
              </w:rPr>
              <w:t xml:space="preserve">adjoint au chef de centre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rPr>
            </w:pPr>
            <w:r>
              <w:rPr>
                <w:rFonts w:cs="Arial" w:ascii="Arial" w:hAnsi="Arial"/>
              </w:rPr>
              <w:t>Localisation géographique : La Guyane</w:t>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Style w:val="Textenonproportionnel"/>
                <w:rFonts w:eastAsia="Times New Roman" w:cs="Arial" w:ascii="Arial" w:hAnsi="Arial"/>
                <w:b w:val="false"/>
                <w:kern w:val="0"/>
                <w:sz w:val="20"/>
                <w:szCs w:val="20"/>
              </w:rPr>
              <w:t xml:space="preserve">En 2024, </w:t>
            </w:r>
            <w:r>
              <w:rPr>
                <w:rFonts w:eastAsia="Times New Roman" w:ascii="Arial" w:hAnsi="Arial"/>
                <w:kern w:val="0"/>
                <w:sz w:val="20"/>
                <w:szCs w:val="20"/>
              </w:rPr>
              <w:t>1 séjour de cohésion sera proposé :</w:t>
            </w:r>
          </w:p>
          <w:p>
            <w:pPr>
              <w:pStyle w:val="Normal"/>
              <w:rPr>
                <w:rFonts w:ascii="Arial" w:hAnsi="Arial" w:eastAsia="Times New Roman" w:cs="Arial"/>
                <w:kern w:val="0"/>
                <w:sz w:val="20"/>
                <w:szCs w:val="20"/>
              </w:rPr>
            </w:pPr>
            <w:r>
              <w:rPr>
                <w:rFonts w:eastAsia="Times New Roman" w:ascii="Arial" w:hAnsi="Arial"/>
                <w:kern w:val="0"/>
                <w:sz w:val="20"/>
                <w:szCs w:val="20"/>
              </w:rPr>
            </w:r>
          </w:p>
          <w:p>
            <w:pPr>
              <w:pStyle w:val="Corpsdetexte"/>
              <w:numPr>
                <w:ilvl w:val="0"/>
                <w:numId w:val="9"/>
              </w:numPr>
              <w:tabs>
                <w:tab w:val="clear" w:pos="708"/>
                <w:tab w:val="left" w:pos="0" w:leader="none"/>
              </w:tabs>
              <w:spacing w:lineRule="auto" w:line="240" w:before="0" w:after="0"/>
              <w:ind w:left="360" w:right="0" w:hanging="0"/>
              <w:rPr>
                <w:rFonts w:ascii="Arial" w:hAnsi="Arial" w:eastAsia="Times New Roman" w:cs="Arial"/>
                <w:kern w:val="0"/>
                <w:sz w:val="20"/>
                <w:szCs w:val="20"/>
              </w:rPr>
            </w:pPr>
            <w:r>
              <w:rPr>
                <w:rStyle w:val="Accentuationforte"/>
                <w:rFonts w:ascii="Arial" w:hAnsi="Arial"/>
                <w:sz w:val="20"/>
                <w:szCs w:val="20"/>
              </w:rPr>
              <w:t>Hors temps scolaire :</w:t>
            </w:r>
          </w:p>
          <w:p>
            <w:pPr>
              <w:pStyle w:val="Normal"/>
              <w:widowControl w:val="false"/>
              <w:rPr>
                <w:rFonts w:ascii="Arial" w:hAnsi="Arial" w:eastAsia="Times New Roman" w:cs="Arial"/>
                <w:kern w:val="0"/>
                <w:sz w:val="20"/>
                <w:szCs w:val="20"/>
              </w:rPr>
            </w:pPr>
            <w:r>
              <w:rPr>
                <w:rStyle w:val="Textenonproportionnel"/>
                <w:bCs w:val="false"/>
                <w:kern w:val="0"/>
                <w:sz w:val="20"/>
                <w:szCs w:val="20"/>
              </w:rPr>
              <w:t>Du 03 au 15</w:t>
            </w:r>
            <w:r>
              <w:rPr>
                <w:rStyle w:val="Textenonproportionnel"/>
                <w:kern w:val="0"/>
                <w:sz w:val="20"/>
                <w:szCs w:val="20"/>
              </w:rPr>
              <w:t xml:space="preserve"> </w:t>
            </w:r>
            <w:r>
              <w:rPr>
                <w:rStyle w:val="Textenonproportionnel"/>
                <w:bCs w:val="false"/>
                <w:kern w:val="0"/>
                <w:sz w:val="20"/>
                <w:szCs w:val="20"/>
              </w:rPr>
              <w:t>juillet</w:t>
            </w:r>
            <w:r>
              <w:rPr>
                <w:rStyle w:val="Textenonproportionnel"/>
                <w:kern w:val="0"/>
                <w:sz w:val="20"/>
                <w:szCs w:val="20"/>
              </w:rPr>
              <w:t xml:space="preserve"> </w:t>
            </w:r>
            <w:r>
              <w:rPr>
                <w:rStyle w:val="Textenonproportionnel"/>
                <w:bCs w:val="false"/>
                <w:kern w:val="0"/>
                <w:sz w:val="20"/>
                <w:szCs w:val="20"/>
              </w:rPr>
              <w:t>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cs="Arial" w:ascii="Arial" w:hAnsi="Arial"/>
                <w:sz w:val="20"/>
                <w:szCs w:val="20"/>
              </w:rPr>
              <w:t>Des jours de formation/préparation et suivi (de 5 à 15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w:t>
            </w:r>
          </w:p>
          <w:p>
            <w:pPr>
              <w:pStyle w:val="Normal"/>
              <w:widowControl w:val="false"/>
              <w:rPr>
                <w:rFonts w:ascii="Arial" w:hAnsi="Arial" w:cs="Arial"/>
                <w:b/>
                <w:b/>
                <w:sz w:val="20"/>
                <w:szCs w:val="20"/>
              </w:rPr>
            </w:pPr>
            <w:r>
              <w:rPr>
                <w:rFonts w:cs="Arial" w:ascii="Arial" w:hAnsi="Arial"/>
                <w:b/>
                <w:sz w:val="20"/>
                <w:szCs w:val="20"/>
              </w:rPr>
            </w:r>
          </w:p>
          <w:p>
            <w:pPr>
              <w:pStyle w:val="Titre2"/>
              <w:widowControl w:val="false"/>
              <w:spacing w:before="120" w:after="120"/>
              <w:rPr>
                <w:rFonts w:ascii="Arial" w:hAnsi="Arial" w:eastAsia="Times New Roman" w:cs="Arial"/>
                <w:kern w:val="0"/>
              </w:rPr>
            </w:pPr>
            <w:r>
              <w:rPr>
                <w:rFonts w:eastAsia="Times New Roman" w:cs="Arial" w:ascii="Arial" w:hAnsi="Arial"/>
                <w:kern w:val="0"/>
              </w:rPr>
              <w:t>Possibilité de candidater a plusieurs sessions.</w:t>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u w:val="single"/>
              </w:rPr>
              <w:t>Description du dispositif</w:t>
            </w:r>
            <w:r>
              <w:rPr>
                <w:rFonts w:cs="Arial" w:ascii="Arial" w:hAnsi="Arial"/>
              </w:rPr>
              <w:t>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3"/>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en favorisant le sentiment d’appartenance à la Nation et l’identification aux valeurs de la République.</w:t>
            </w:r>
          </w:p>
          <w:p>
            <w:pPr>
              <w:pStyle w:val="ListParagraph"/>
              <w:widowControl w:val="false"/>
              <w:numPr>
                <w:ilvl w:val="0"/>
                <w:numId w:val="3"/>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3"/>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s’adresse aux jeunes entre 15 à 17 ans sur la base du volontariat.</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8"/>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8"/>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 xml:space="preserve">. </w:t>
            </w:r>
          </w:p>
          <w:p>
            <w:pPr>
              <w:pStyle w:val="ListParagraph"/>
              <w:widowControl w:val="false"/>
              <w:rPr>
                <w:rFonts w:ascii="Arial" w:hAnsi="Arial" w:cs="Arial"/>
                <w:sz w:val="20"/>
                <w:szCs w:val="20"/>
              </w:rPr>
            </w:pPr>
            <w:r>
              <w:rPr>
                <w:rFonts w:cs="Arial" w:ascii="Arial" w:hAnsi="Arial"/>
                <w:sz w:val="20"/>
                <w:szCs w:val="20"/>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tc>
      </w:tr>
      <w:tr>
        <w:trPr/>
        <w:tc>
          <w:tcPr>
            <w:tcW w:w="10695" w:type="dxa"/>
            <w:tcBorders>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Adjoint au chef de centre </w:t>
            </w:r>
          </w:p>
        </w:tc>
      </w:tr>
      <w:tr>
        <w:trPr>
          <w:trHeight w:val="304"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Conditions particulières d’exercice :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Astreinte de nuit et logement sur site (hébergement et pension complète inclus)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Tenue obligatoire fournie pour l’encadrement du séjour</w:t>
            </w:r>
          </w:p>
          <w:p>
            <w:pPr>
              <w:pStyle w:val="Normal"/>
              <w:widowControl w:val="false"/>
              <w:rPr/>
            </w:pPr>
            <w:r>
              <w:rPr/>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 xml:space="preserve">Descriptif de la structure :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w:t>
            </w:r>
            <w:r>
              <w:rPr>
                <w:rFonts w:cs="Arial" w:ascii="Arial" w:hAnsi="Arial"/>
              </w:rPr>
              <w:t> </w:t>
            </w:r>
            <w:r>
              <w:rPr>
                <w:rFonts w:cs="Arial" w:ascii="Arial" w:hAnsi="Arial"/>
                <w:b/>
                <w:bCs/>
                <w:smallCaps/>
                <w:sz w:val="20"/>
                <w:szCs w:val="20"/>
              </w:rPr>
              <w:t xml:space="preserve">: </w:t>
            </w:r>
            <w:r>
              <w:rPr>
                <w:rFonts w:cs="Arial" w:ascii="Arial" w:hAnsi="Arial"/>
                <w:bCs/>
                <w:smallCaps/>
                <w:sz w:val="20"/>
                <w:szCs w:val="20"/>
              </w:rPr>
              <w:t>L</w:t>
            </w:r>
            <w:r>
              <w:rPr>
                <w:rFonts w:cs="Arial" w:ascii="Arial" w:hAnsi="Arial"/>
                <w:sz w:val="20"/>
                <w:szCs w:val="20"/>
              </w:rPr>
              <w:t>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4"/>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4"/>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approche pédagogique, volet sanitaires.. (2 ou 3 en fonction de la taille des centres)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rPr/>
            </w:pPr>
            <w:r>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Normal"/>
              <w:widowControl w:val="false"/>
              <w:suppressAutoHyphens w:val="false"/>
              <w:textAlignment w:val="auto"/>
              <w:rPr>
                <w:rFonts w:ascii="Arial" w:hAnsi="Arial" w:cs="Arial"/>
                <w:sz w:val="20"/>
                <w:szCs w:val="20"/>
              </w:rPr>
            </w:pPr>
            <w:r>
              <w:rPr>
                <w:rFonts w:cs="Arial" w:ascii="Arial" w:hAnsi="Arial"/>
                <w:sz w:val="20"/>
                <w:szCs w:val="20"/>
              </w:rPr>
              <w:t>Membre de l’équipe de direction, l’adjoint seconde le chef de centre dans sa mission éducative et pédagogique. En amont du séjour, il participe à la conception de la maquette pédagogique, sur la base du guide des contenus SNU autour de plusieurs thématiques de formation, ainsi qu’à son appropriation par tous les encadrants. Pendant le séjour, il s’assure de la bonne mise en œuvre des activités et de l’application d’une pédagogie active et participative. En coordination les cadres spécialisés, il met en œuvre :</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ListParagraph"/>
              <w:widowControl w:val="false"/>
              <w:numPr>
                <w:ilvl w:val="0"/>
                <w:numId w:val="5"/>
              </w:numPr>
              <w:rPr>
                <w:rFonts w:ascii="Arial" w:hAnsi="Arial" w:cs="Arial"/>
                <w:sz w:val="20"/>
                <w:szCs w:val="20"/>
              </w:rPr>
            </w:pPr>
            <w:r>
              <w:rPr>
                <w:rFonts w:cs="Arial" w:ascii="Arial" w:hAnsi="Arial"/>
                <w:sz w:val="20"/>
                <w:szCs w:val="20"/>
              </w:rPr>
              <w:t xml:space="preserve">Préparation du séjour de cohésion </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Il identifie et mobilise les intervenants institutionnels et associatifs</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Il décline le guide pratique des contenus SNU en un projet pédagogique de centre </w:t>
            </w:r>
          </w:p>
          <w:p>
            <w:pPr>
              <w:pStyle w:val="ListParagraph"/>
              <w:widowControl w:val="false"/>
              <w:numPr>
                <w:ilvl w:val="0"/>
                <w:numId w:val="4"/>
              </w:numPr>
              <w:rPr>
                <w:rFonts w:ascii="Arial" w:hAnsi="Arial" w:cs="Arial"/>
                <w:sz w:val="20"/>
                <w:szCs w:val="20"/>
              </w:rPr>
            </w:pPr>
            <w:r>
              <w:rPr>
                <w:rFonts w:cs="Arial" w:ascii="Arial" w:hAnsi="Arial"/>
                <w:sz w:val="20"/>
                <w:szCs w:val="20"/>
              </w:rPr>
              <w:t>Il s’assure de la cohérence d’ensemble de l’emploi du temps, notamment en ce qui concerne les objectifs pédagogiques et les volumes horaires, en conformité avec le projet territorial.</w:t>
            </w:r>
          </w:p>
          <w:p>
            <w:pPr>
              <w:pStyle w:val="ListParagraph"/>
              <w:widowControl w:val="false"/>
              <w:numPr>
                <w:ilvl w:val="0"/>
                <w:numId w:val="4"/>
              </w:numPr>
              <w:rPr>
                <w:rFonts w:ascii="Arial" w:hAnsi="Arial" w:cs="Arial"/>
                <w:sz w:val="20"/>
                <w:szCs w:val="20"/>
              </w:rPr>
            </w:pPr>
            <w:r>
              <w:rPr>
                <w:rFonts w:cs="Arial" w:ascii="Arial" w:hAnsi="Arial"/>
                <w:sz w:val="20"/>
                <w:szCs w:val="20"/>
              </w:rPr>
              <w:t>Il organise la formation des tuteurs de maisonnée</w:t>
            </w:r>
          </w:p>
          <w:p>
            <w:pPr>
              <w:pStyle w:val="ListParagraph"/>
              <w:widowControl w:val="false"/>
              <w:numPr>
                <w:ilvl w:val="0"/>
                <w:numId w:val="4"/>
              </w:numPr>
              <w:rPr>
                <w:rFonts w:ascii="Arial" w:hAnsi="Arial" w:cs="Arial"/>
                <w:sz w:val="20"/>
                <w:szCs w:val="20"/>
              </w:rPr>
            </w:pPr>
            <w:r>
              <w:rPr>
                <w:rFonts w:cs="Arial" w:ascii="Arial" w:hAnsi="Arial"/>
                <w:sz w:val="20"/>
                <w:szCs w:val="20"/>
              </w:rPr>
              <w:t>Il est garant de la bonne information des intervenants extérieurs à l’équipe du centre.</w:t>
            </w:r>
          </w:p>
          <w:p>
            <w:pPr>
              <w:pStyle w:val="ListParagraph"/>
              <w:widowControl w:val="false"/>
              <w:numPr>
                <w:ilvl w:val="0"/>
                <w:numId w:val="4"/>
              </w:numPr>
              <w:rPr>
                <w:rFonts w:ascii="Arial" w:hAnsi="Arial" w:cs="Arial"/>
                <w:sz w:val="20"/>
                <w:szCs w:val="20"/>
              </w:rPr>
            </w:pPr>
            <w:r>
              <w:rPr>
                <w:rFonts w:cs="Arial" w:ascii="Arial" w:hAnsi="Arial"/>
                <w:sz w:val="20"/>
                <w:szCs w:val="20"/>
              </w:rPr>
              <w:t>Il assiste le chef de centre dans les relations avec les « référents engagements » des établissements scolaires dans le cadre de l’accueil des « classes et lycées engagés ».</w:t>
            </w:r>
          </w:p>
          <w:p>
            <w:pPr>
              <w:pStyle w:val="Normal"/>
              <w:widowControl w:val="false"/>
              <w:rPr>
                <w:rFonts w:ascii="Arial" w:hAnsi="Arial" w:cs="Arial"/>
                <w:color w:val="FF0000"/>
                <w:sz w:val="20"/>
                <w:szCs w:val="20"/>
              </w:rPr>
            </w:pPr>
            <w:r>
              <w:rPr>
                <w:rFonts w:cs="Arial" w:ascii="Arial" w:hAnsi="Arial"/>
                <w:color w:val="FF0000"/>
                <w:sz w:val="20"/>
                <w:szCs w:val="20"/>
              </w:rPr>
            </w:r>
          </w:p>
          <w:p>
            <w:pPr>
              <w:pStyle w:val="ListParagraph"/>
              <w:widowControl w:val="false"/>
              <w:numPr>
                <w:ilvl w:val="0"/>
                <w:numId w:val="5"/>
              </w:numPr>
              <w:rPr>
                <w:rFonts w:ascii="Arial" w:hAnsi="Arial" w:cs="Arial"/>
                <w:sz w:val="20"/>
                <w:szCs w:val="20"/>
              </w:rPr>
            </w:pPr>
            <w:r>
              <w:rPr>
                <w:rFonts w:cs="Arial" w:ascii="Arial" w:hAnsi="Arial"/>
                <w:sz w:val="20"/>
                <w:szCs w:val="20"/>
              </w:rPr>
              <w:t>Définition de l’emploi du temps et suivi des activités</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L’adjoint éducatif est associé à l’élaboration de l’emploi du temps</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Il en assure la diffusion à tous les intervenants </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Il s’assure du bon déroulement de l’emploi du temps et de la conformité des activités programmées </w:t>
            </w:r>
          </w:p>
          <w:p>
            <w:pPr>
              <w:pStyle w:val="ListParagraph"/>
              <w:widowControl w:val="false"/>
              <w:numPr>
                <w:ilvl w:val="0"/>
                <w:numId w:val="4"/>
              </w:numPr>
              <w:rPr>
                <w:rFonts w:ascii="Arial" w:hAnsi="Arial" w:cs="Arial"/>
                <w:sz w:val="20"/>
                <w:szCs w:val="20"/>
              </w:rPr>
            </w:pPr>
            <w:r>
              <w:rPr>
                <w:rFonts w:cs="Arial" w:ascii="Arial" w:hAnsi="Arial"/>
                <w:sz w:val="20"/>
                <w:szCs w:val="20"/>
              </w:rPr>
              <w:t>À l’occasion des diverses activités, il participe à l’identification des volontaires qui nécessitent une prise en charge dans la durée. En lien avec le chef de centre, il assure le relais avec les services compétents dans les départements de résidence de ces jeunes pour ce qui concerne les domaines pédagogique et social. Il s’assure que le référent sanitaire s’acquitte de cette mission dans le champ médico-social. Dans le cadre des « Classes et Lycées engagés », il appuie le chef de centre dans sa relation avec les « référents engagement » des classes des établissements scolaires : présentation du projet pédagogique du centre et des modalités de mise en œuvre de la coloration liée au projet de la classe engagées (objectifs, activités, intervenants, visites, action engagée envisagée, etc.). Il aide également le chef de centre à prendre en compte les spécificités des projets des différentes classes engagées afin de contribuer à leur donner du sens et de la cohérence. Il contribue à faciliter les contacts avec les partenaires mobilisés sur le territoire. Il assure, aux côtés du chef de centre, le lien avec les référents académiques et les chefs de projets départementaux.</w:t>
            </w:r>
          </w:p>
          <w:p>
            <w:pPr>
              <w:pStyle w:val="Normal"/>
              <w:widowControl w:val="false"/>
              <w:ind w:left="360" w:hanging="0"/>
              <w:rPr>
                <w:rFonts w:ascii="Arial" w:hAnsi="Arial" w:cs="Arial"/>
                <w:sz w:val="20"/>
                <w:szCs w:val="20"/>
              </w:rPr>
            </w:pPr>
            <w:r>
              <w:rPr>
                <w:rFonts w:cs="Arial" w:ascii="Arial" w:hAnsi="Arial"/>
                <w:sz w:val="20"/>
                <w:szCs w:val="20"/>
              </w:rPr>
            </w:r>
          </w:p>
          <w:p>
            <w:pPr>
              <w:pStyle w:val="ListParagraph"/>
              <w:widowControl w:val="false"/>
              <w:numPr>
                <w:ilvl w:val="0"/>
                <w:numId w:val="5"/>
              </w:numPr>
              <w:rPr>
                <w:rFonts w:ascii="Arial" w:hAnsi="Arial" w:cs="Arial"/>
                <w:sz w:val="20"/>
                <w:szCs w:val="20"/>
              </w:rPr>
            </w:pPr>
            <w:r>
              <w:rPr>
                <w:rFonts w:cs="Arial" w:ascii="Arial" w:hAnsi="Arial"/>
                <w:sz w:val="20"/>
                <w:szCs w:val="20"/>
              </w:rPr>
              <w:t>Mise en œuvre d’une pédagogie spécifique au SNU</w:t>
            </w:r>
          </w:p>
          <w:p>
            <w:pPr>
              <w:pStyle w:val="Normal"/>
              <w:widowControl w:val="false"/>
              <w:ind w:left="360" w:hanging="0"/>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Dans la préparation des blocs de formation comme dans leur conduite, il fait mettre en œuvre, par tous les intervenants, une pédagogie active et participative (petits groupes, mises en situation concrètes, responsabilisation des volontaires, inclusion)</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En amont du séjour et en lien avec les ressources locales pertinentes, il identifie avec les intervenants les activités collectives, les études de cas, les jeux de rôle, les sorties de découverte ou les visites de sites…à mettre en œuvre. </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0" w:name="__Fieldmark__108_2653369017"/>
            <w:bookmarkStart w:id="1" w:name="__Fieldmark__108_2653369017"/>
            <w:bookmarkEnd w:id="1"/>
            <w:r>
              <w:rPr>
                <w:rFonts w:ascii="Arial" w:hAnsi="Arial"/>
                <w:sz w:val="20"/>
                <w:szCs w:val="20"/>
              </w:rPr>
            </w:r>
            <w:r>
              <w:rPr>
                <w:sz w:val="20"/>
                <w:szCs w:val="20"/>
                <w:rFonts w:ascii="Arial" w:hAnsi="Arial"/>
              </w:rPr>
              <w:fldChar w:fldCharType="end"/>
            </w:r>
            <w:bookmarkStart w:id="2" w:name="__Fieldmark__154_2741809651"/>
            <w:bookmarkEnd w:id="2"/>
            <w:r>
              <w:rPr>
                <w:rFonts w:cs="Arial" w:ascii="Arial" w:hAnsi="Arial"/>
                <w:sz w:val="20"/>
                <w:szCs w:val="20"/>
                <w:shd w:fill="D9D9D9" w:val="clear"/>
              </w:rPr>
              <w:t xml:space="preserve"> Ce poste est ouvert aux agents sans expérience professionnelle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3" w:name="__Fieldmark__116_2653369017"/>
            <w:bookmarkStart w:id="4" w:name="__Fieldmark__116_2653369017"/>
            <w:bookmarkEnd w:id="4"/>
            <w:r>
              <w:rPr>
                <w:rFonts w:ascii="Arial" w:hAnsi="Arial"/>
                <w:sz w:val="20"/>
                <w:szCs w:val="20"/>
              </w:rPr>
            </w:r>
            <w:r>
              <w:rPr>
                <w:sz w:val="20"/>
                <w:szCs w:val="20"/>
                <w:rFonts w:ascii="Arial" w:hAnsi="Arial"/>
              </w:rPr>
              <w:fldChar w:fldCharType="end"/>
            </w:r>
            <w:bookmarkStart w:id="5" w:name="__Fieldmark__158_2741809651"/>
            <w:bookmarkEnd w:id="5"/>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initiale</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6" w:name="__Fieldmark__125_2653369017"/>
            <w:bookmarkStart w:id="7" w:name="__Fieldmark__125_2653369017"/>
            <w:bookmarkEnd w:id="7"/>
            <w:r>
              <w:rPr>
                <w:rFonts w:ascii="Arial" w:hAnsi="Arial"/>
                <w:sz w:val="20"/>
                <w:szCs w:val="20"/>
              </w:rPr>
            </w:r>
            <w:r>
              <w:rPr>
                <w:sz w:val="20"/>
                <w:szCs w:val="20"/>
                <w:rFonts w:ascii="Arial" w:hAnsi="Arial"/>
              </w:rPr>
              <w:fldChar w:fldCharType="end"/>
            </w:r>
            <w:bookmarkStart w:id="8" w:name="__Fieldmark__163_2741809651"/>
            <w:bookmarkEnd w:id="8"/>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tc>
      </w:tr>
    </w:tbl>
    <w:tbl>
      <w:tblPr>
        <w:tblpPr w:bottomFromText="0" w:horzAnchor="margin" w:leftFromText="141" w:rightFromText="141" w:tblpX="0" w:tblpY="627" w:topFromText="0" w:vertAnchor="text"/>
        <w:tblW w:w="1069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33"/>
        <w:gridCol w:w="56"/>
      </w:tblGrid>
      <w:tr>
        <w:trPr>
          <w:trHeight w:val="80" w:hRule="atLeast"/>
        </w:trPr>
        <w:tc>
          <w:tcPr>
            <w:tcW w:w="10689" w:type="dxa"/>
            <w:gridSpan w:val="2"/>
            <w:tcBorders>
              <w:bottom w:val="single" w:sz="4" w:space="0" w:color="000000"/>
            </w:tcBorders>
          </w:tcPr>
          <w:p>
            <w:pPr>
              <w:pStyle w:val="Titre1"/>
              <w:widowControl w:val="false"/>
              <w:spacing w:before="240" w:after="60"/>
              <w:rPr>
                <w:rFonts w:ascii="Arial" w:hAnsi="Arial" w:cs="Arial"/>
              </w:rPr>
            </w:pPr>
            <w:r>
              <w:rPr>
                <w:rFonts w:cs="Arial" w:ascii="Arial" w:hAnsi="Arial"/>
              </w:rPr>
              <w:t xml:space="preserve">Les connaissances et compétences mises en œuvre </w:t>
            </w:r>
          </w:p>
        </w:tc>
      </w:tr>
      <w:tr>
        <w:trPr>
          <w:trHeight w:val="378" w:hRule="atLeast"/>
        </w:trPr>
        <w:tc>
          <w:tcPr>
            <w:tcW w:w="10689" w:type="dxa"/>
            <w:gridSpan w:val="2"/>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Connaissances :</w:t>
            </w:r>
          </w:p>
          <w:p>
            <w:pPr>
              <w:pStyle w:val="ListParagraph"/>
              <w:widowControl w:val="false"/>
              <w:numPr>
                <w:ilvl w:val="0"/>
                <w:numId w:val="6"/>
              </w:numPr>
              <w:rPr>
                <w:rFonts w:ascii="Arial" w:hAnsi="Arial" w:cs="Arial"/>
                <w:sz w:val="20"/>
                <w:szCs w:val="20"/>
              </w:rPr>
            </w:pPr>
            <w:r>
              <w:rPr>
                <w:rFonts w:cs="Arial" w:ascii="Arial" w:hAnsi="Arial"/>
                <w:sz w:val="20"/>
                <w:szCs w:val="20"/>
              </w:rPr>
              <w:t xml:space="preserve">Expérience préalable dans la direction ou l’animation d’une structure d’accueil des mineurs ou d’un établissement scolaire </w:t>
            </w:r>
          </w:p>
          <w:p>
            <w:pPr>
              <w:pStyle w:val="ListParagraph"/>
              <w:widowControl w:val="false"/>
              <w:numPr>
                <w:ilvl w:val="0"/>
                <w:numId w:val="6"/>
              </w:numPr>
              <w:rPr>
                <w:rFonts w:ascii="Arial" w:hAnsi="Arial" w:cs="Arial"/>
                <w:sz w:val="20"/>
                <w:szCs w:val="20"/>
              </w:rPr>
            </w:pPr>
            <w:r>
              <w:rPr>
                <w:rFonts w:cs="Arial" w:ascii="Arial" w:hAnsi="Arial"/>
                <w:sz w:val="20"/>
                <w:szCs w:val="20"/>
              </w:rPr>
              <w:t>Expérience dans le pilotage pédagogique des activités et de la formation</w:t>
            </w:r>
          </w:p>
          <w:p>
            <w:pPr>
              <w:pStyle w:val="ListParagraph"/>
              <w:widowControl w:val="false"/>
              <w:numPr>
                <w:ilvl w:val="0"/>
                <w:numId w:val="6"/>
              </w:numPr>
              <w:rPr>
                <w:rFonts w:ascii="Arial" w:hAnsi="Arial" w:cs="Arial"/>
                <w:sz w:val="20"/>
                <w:szCs w:val="20"/>
              </w:rPr>
            </w:pPr>
            <w:r>
              <w:rPr>
                <w:rFonts w:cs="Arial" w:ascii="Arial" w:hAnsi="Arial"/>
                <w:sz w:val="20"/>
                <w:szCs w:val="20"/>
              </w:rPr>
              <w:t>Psychologie de l’adolescent </w:t>
            </w:r>
          </w:p>
          <w:p>
            <w:pPr>
              <w:pStyle w:val="ListParagraph"/>
              <w:widowControl w:val="false"/>
              <w:numPr>
                <w:ilvl w:val="0"/>
                <w:numId w:val="6"/>
              </w:numPr>
              <w:rPr>
                <w:rFonts w:ascii="Arial" w:hAnsi="Arial" w:cs="Arial"/>
                <w:sz w:val="20"/>
                <w:szCs w:val="20"/>
              </w:rPr>
            </w:pPr>
            <w:r>
              <w:rPr>
                <w:rFonts w:cs="Arial" w:ascii="Arial" w:hAnsi="Arial"/>
                <w:sz w:val="20"/>
                <w:szCs w:val="20"/>
              </w:rPr>
              <w:t xml:space="preserve">Techniques de management </w:t>
            </w:r>
          </w:p>
          <w:p>
            <w:pPr>
              <w:pStyle w:val="ListParagraph"/>
              <w:widowControl w:val="false"/>
              <w:numPr>
                <w:ilvl w:val="0"/>
                <w:numId w:val="6"/>
              </w:numPr>
              <w:rPr>
                <w:rFonts w:ascii="Arial" w:hAnsi="Arial" w:cs="Arial"/>
                <w:sz w:val="20"/>
                <w:szCs w:val="20"/>
              </w:rPr>
            </w:pPr>
            <w:r>
              <w:rPr>
                <w:rFonts w:cs="Arial" w:ascii="Arial" w:hAnsi="Arial"/>
                <w:sz w:val="20"/>
                <w:szCs w:val="20"/>
              </w:rPr>
              <w:t>Identification des risques psycho-sociaux </w:t>
            </w:r>
          </w:p>
          <w:p>
            <w:pPr>
              <w:pStyle w:val="ListParagraph"/>
              <w:widowControl w:val="false"/>
              <w:numPr>
                <w:ilvl w:val="0"/>
                <w:numId w:val="6"/>
              </w:numPr>
              <w:rPr>
                <w:rFonts w:ascii="Arial" w:hAnsi="Arial" w:cs="Arial"/>
                <w:sz w:val="20"/>
                <w:szCs w:val="20"/>
              </w:rPr>
            </w:pPr>
            <w:r>
              <w:rPr>
                <w:rFonts w:cs="Arial" w:ascii="Arial" w:hAnsi="Arial"/>
                <w:sz w:val="20"/>
                <w:szCs w:val="20"/>
              </w:rPr>
              <w:t>Sécurité physique et morale des mineurs </w:t>
            </w:r>
          </w:p>
          <w:p>
            <w:pPr>
              <w:pStyle w:val="ListParagraph"/>
              <w:widowControl w:val="false"/>
              <w:numPr>
                <w:ilvl w:val="0"/>
                <w:numId w:val="6"/>
              </w:numPr>
              <w:rPr>
                <w:rFonts w:ascii="Arial" w:hAnsi="Arial" w:cs="Arial"/>
                <w:sz w:val="20"/>
                <w:szCs w:val="20"/>
              </w:rPr>
            </w:pPr>
            <w:r>
              <w:rPr>
                <w:rFonts w:cs="Arial" w:ascii="Arial" w:hAnsi="Arial"/>
                <w:sz w:val="20"/>
                <w:szCs w:val="20"/>
              </w:rPr>
              <w:t>Gestion de crise</w:t>
            </w:r>
          </w:p>
        </w:tc>
      </w:tr>
      <w:tr>
        <w:trPr>
          <w:trHeight w:val="378" w:hRule="atLeast"/>
        </w:trPr>
        <w:tc>
          <w:tcPr>
            <w:tcW w:w="10689" w:type="dxa"/>
            <w:gridSpan w:val="2"/>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Compétences : </w:t>
            </w:r>
          </w:p>
          <w:p>
            <w:pPr>
              <w:pStyle w:val="ListParagraph"/>
              <w:widowControl w:val="false"/>
              <w:numPr>
                <w:ilvl w:val="0"/>
                <w:numId w:val="7"/>
              </w:numPr>
              <w:rPr>
                <w:rFonts w:ascii="Arial" w:hAnsi="Arial" w:cs="Arial"/>
                <w:sz w:val="20"/>
                <w:szCs w:val="20"/>
              </w:rPr>
            </w:pPr>
            <w:r>
              <w:rPr>
                <w:rFonts w:cs="Arial" w:ascii="Arial" w:hAnsi="Arial"/>
                <w:sz w:val="20"/>
                <w:szCs w:val="20"/>
              </w:rPr>
              <w:t>Capacité à animer une équipe, fédérer des énergies, créer de la cohésion </w:t>
            </w:r>
          </w:p>
          <w:p>
            <w:pPr>
              <w:pStyle w:val="ListParagraph"/>
              <w:widowControl w:val="false"/>
              <w:numPr>
                <w:ilvl w:val="0"/>
                <w:numId w:val="7"/>
              </w:numPr>
              <w:rPr>
                <w:rFonts w:ascii="Arial" w:hAnsi="Arial" w:cs="Arial"/>
                <w:sz w:val="20"/>
                <w:szCs w:val="20"/>
              </w:rPr>
            </w:pPr>
            <w:r>
              <w:rPr>
                <w:rFonts w:cs="Arial" w:ascii="Arial" w:hAnsi="Arial"/>
                <w:sz w:val="20"/>
                <w:szCs w:val="20"/>
              </w:rPr>
              <w:t>Capacité d’écoute et réactivité </w:t>
            </w:r>
          </w:p>
          <w:p>
            <w:pPr>
              <w:pStyle w:val="ListParagraph"/>
              <w:widowControl w:val="false"/>
              <w:numPr>
                <w:ilvl w:val="0"/>
                <w:numId w:val="7"/>
              </w:numPr>
              <w:rPr>
                <w:rFonts w:ascii="Arial" w:hAnsi="Arial" w:cs="Arial"/>
                <w:sz w:val="20"/>
                <w:szCs w:val="20"/>
              </w:rPr>
            </w:pPr>
            <w:r>
              <w:rPr>
                <w:rFonts w:cs="Arial" w:ascii="Arial" w:hAnsi="Arial"/>
                <w:sz w:val="20"/>
                <w:szCs w:val="20"/>
              </w:rPr>
              <w:t>Capacité de leadership et maîtrise de soi</w:t>
            </w:r>
          </w:p>
          <w:p>
            <w:pPr>
              <w:pStyle w:val="ListParagraph"/>
              <w:widowControl w:val="false"/>
              <w:numPr>
                <w:ilvl w:val="0"/>
                <w:numId w:val="7"/>
              </w:numPr>
              <w:rPr>
                <w:rFonts w:ascii="Arial" w:hAnsi="Arial" w:cs="Arial"/>
                <w:sz w:val="20"/>
                <w:szCs w:val="20"/>
              </w:rPr>
            </w:pPr>
            <w:r>
              <w:rPr>
                <w:rFonts w:cs="Arial" w:ascii="Arial" w:hAnsi="Arial"/>
                <w:sz w:val="20"/>
                <w:szCs w:val="20"/>
              </w:rPr>
              <w:t>Exemplarité, intégrité et rigueur dans le comportement </w:t>
            </w:r>
          </w:p>
          <w:p>
            <w:pPr>
              <w:pStyle w:val="ListParagraph"/>
              <w:widowControl w:val="false"/>
              <w:numPr>
                <w:ilvl w:val="0"/>
                <w:numId w:val="7"/>
              </w:numPr>
              <w:rPr>
                <w:rFonts w:ascii="Arial" w:hAnsi="Arial" w:cs="Arial"/>
                <w:sz w:val="20"/>
                <w:szCs w:val="20"/>
              </w:rPr>
            </w:pPr>
            <w:r>
              <w:rPr>
                <w:rFonts w:cs="Arial" w:ascii="Arial" w:hAnsi="Arial"/>
                <w:sz w:val="20"/>
                <w:szCs w:val="20"/>
              </w:rPr>
              <w:t>Expérience dans l’accompagnement des jeunes </w:t>
            </w:r>
          </w:p>
          <w:p>
            <w:pPr>
              <w:pStyle w:val="ListParagraph"/>
              <w:widowControl w:val="false"/>
              <w:numPr>
                <w:ilvl w:val="0"/>
                <w:numId w:val="7"/>
              </w:numPr>
              <w:rPr/>
            </w:pPr>
            <w:r>
              <w:rPr>
                <w:rFonts w:cs="Arial" w:ascii="Arial" w:hAnsi="Arial"/>
                <w:sz w:val="20"/>
                <w:szCs w:val="20"/>
              </w:rPr>
              <w:t>Expérience dans l’accueil et l’accompagnement de jeunes en situation de handicap ou à besoins particuliers</w:t>
            </w:r>
          </w:p>
          <w:p>
            <w:pPr>
              <w:pStyle w:val="ListParagraph"/>
              <w:widowControl w:val="false"/>
              <w:numPr>
                <w:ilvl w:val="0"/>
                <w:numId w:val="0"/>
              </w:numPr>
              <w:ind w:left="1440" w:hanging="0"/>
              <w:rPr>
                <w:rFonts w:ascii="Arial" w:hAnsi="Arial" w:cs="Arial"/>
                <w:sz w:val="20"/>
                <w:szCs w:val="20"/>
              </w:rPr>
            </w:pPr>
            <w:r>
              <w:rPr/>
            </w:r>
          </w:p>
        </w:tc>
      </w:tr>
      <w:tr>
        <w:trPr>
          <w:trHeight w:val="61" w:hRule="atLeast"/>
        </w:trPr>
        <w:tc>
          <w:tcPr>
            <w:tcW w:w="10689" w:type="dxa"/>
            <w:gridSpan w:val="2"/>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Rémunération et cadre d’emploi : </w:t>
            </w:r>
            <w:r>
              <w:rPr>
                <w:rFonts w:eastAsia="Times New Roman" w:cs="Arial" w:ascii="Arial" w:hAnsi="Arial"/>
                <w:b w:val="false"/>
                <w:bCs w:val="false"/>
                <w:caps w:val="false"/>
                <w:smallCaps w:val="false"/>
                <w:kern w:val="0"/>
              </w:rPr>
              <w:t>en fonction de la situation statutaire, poste ouvert</w:t>
            </w:r>
            <w:r>
              <w:rPr>
                <w:rFonts w:cs="Arial" w:ascii="Arial" w:hAnsi="Arial"/>
              </w:rPr>
              <w:t xml:space="preserve"> </w:t>
            </w:r>
            <w:r>
              <w:rPr>
                <w:rFonts w:eastAsia="Times New Roman" w:cs="Arial" w:ascii="Arial" w:hAnsi="Arial"/>
                <w:b w:val="false"/>
                <w:bCs w:val="false"/>
                <w:caps w:val="false"/>
                <w:smallCaps w:val="false"/>
                <w:kern w:val="0"/>
              </w:rPr>
              <w:t>aux fonctionnaires en activité, statut privé, réservistes, retraités.</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114,90 € brut par jour (hors indemnité congé payé).</w:t>
            </w:r>
          </w:p>
          <w:p>
            <w:pPr>
              <w:pStyle w:val="Normal"/>
              <w:widowControl w:val="false"/>
              <w:rPr>
                <w:rFonts w:ascii="Arial" w:hAnsi="Arial" w:eastAsia="Times New Roman" w:cs="Arial"/>
                <w:kern w:val="0"/>
                <w:sz w:val="20"/>
                <w:szCs w:val="20"/>
              </w:rPr>
            </w:pPr>
            <w:r>
              <w:rPr>
                <w:rFonts w:cs="Arial" w:ascii="Arial" w:hAnsi="Arial"/>
                <w:sz w:val="20"/>
                <w:szCs w:val="20"/>
              </w:rPr>
              <w:t>Personnels relevant du MENJS ainsi que les agents publics relevant de toute administration de l’État</w:t>
            </w:r>
            <w:r>
              <w:rPr>
                <w:rFonts w:eastAsia="Times New Roman" w:cs="Arial" w:ascii="Arial" w:hAnsi="Arial"/>
                <w:kern w:val="0"/>
                <w:sz w:val="20"/>
                <w:szCs w:val="20"/>
              </w:rPr>
              <w:t> : – Indemnité par décret n° 2022-343 du 10 mars 2022 instituant une indemnité d'encadrement du service national universel</w:t>
            </w:r>
          </w:p>
        </w:tc>
      </w:tr>
      <w:tr>
        <w:trPr/>
        <w:tc>
          <w:tcPr>
            <w:tcW w:w="10689" w:type="dxa"/>
            <w:gridSpan w:val="2"/>
            <w:tcBorders>
              <w:bottom w:val="single" w:sz="4" w:space="0" w:color="C0C0C0"/>
            </w:tcBorders>
          </w:tcPr>
          <w:p>
            <w:pPr>
              <w:pStyle w:val="Titre1"/>
              <w:widowControl w:val="false"/>
              <w:spacing w:before="240" w:after="60"/>
              <w:rPr>
                <w:rFonts w:ascii="Arial" w:hAnsi="Arial" w:cs="Arial"/>
              </w:rPr>
            </w:pPr>
            <w:r>
              <w:rPr>
                <w:rFonts w:cs="Arial" w:ascii="Arial" w:hAnsi="Arial"/>
              </w:rPr>
              <w:t>Vos contacts (nom, prénom, fonction, téléphone, adresse électronique)</w:t>
            </w:r>
          </w:p>
        </w:tc>
      </w:tr>
      <w:tr>
        <w:trPr/>
        <w:tc>
          <w:tcPr>
            <w:tcW w:w="10633" w:type="dxa"/>
            <w:tcBorders>
              <w:top w:val="single" w:sz="4" w:space="0" w:color="C0C0C0"/>
              <w:left w:val="single" w:sz="4" w:space="0" w:color="999999"/>
              <w:bottom w:val="single" w:sz="4" w:space="0" w:color="999999"/>
              <w:right w:val="single" w:sz="4" w:space="0" w:color="999999"/>
            </w:tcBorders>
            <w:shd w:color="auto" w:fill="D9D9D9" w:val="clear"/>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tc>
        <w:tc>
          <w:tcPr>
            <w:tcW w:w="56" w:type="dxa"/>
            <w:tcBorders/>
          </w:tcPr>
          <w:p>
            <w:pPr>
              <w:pStyle w:val="Normal"/>
              <w:widowControl w:val="false"/>
              <w:rPr/>
            </w:pPr>
            <w:r>
              <w:rPr/>
            </w:r>
          </w:p>
        </w:tc>
      </w:tr>
      <w:tr>
        <w:trPr/>
        <w:tc>
          <w:tcPr>
            <w:tcW w:w="10633" w:type="dxa"/>
            <w:tcBorders>
              <w:left w:val="single" w:sz="4" w:space="0" w:color="999999"/>
              <w:bottom w:val="single" w:sz="4" w:space="0" w:color="999999"/>
              <w:right w:val="single" w:sz="4" w:space="0" w:color="999999"/>
            </w:tcBorders>
            <w:shd w:color="auto" w:fill="D9D9D9" w:val="clear"/>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c>
          <w:tcPr>
            <w:tcW w:w="56" w:type="dxa"/>
            <w:tcBorders/>
          </w:tcPr>
          <w:p>
            <w:pPr>
              <w:pStyle w:val="Normal"/>
              <w:widowControl w:val="false"/>
              <w:rPr/>
            </w:pPr>
            <w:r>
              <w:rPr/>
            </w:r>
          </w:p>
        </w:tc>
      </w:tr>
    </w:tbl>
    <w:p>
      <w:pPr>
        <w:pStyle w:val="Normal"/>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360" w:hanging="360"/>
      </w:pPr>
      <w:rPr>
        <w:rFonts w:ascii="Symbol" w:hAnsi="Symbol" w:cs="Symbol" w:hint="default"/>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Textenonproportionnel">
    <w:name w:val="Texte non proportionnel"/>
    <w:qFormat/>
    <w:rPr>
      <w:rFonts w:ascii="Liberation Mono" w:hAnsi="Liberation Mono" w:eastAsia="Liberation Mono" w:cs="Liberation Mono"/>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Strong">
    <w:name w:val="Strong"/>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5e0b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4</Pages>
  <Words>1384</Words>
  <Characters>7827</Characters>
  <CharactersWithSpaces>9193</CharactersWithSpaces>
  <Paragraphs>18</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2023-12-11T11:59:38Z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