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Arial" w:hAnsi="Arial" w:cs="Arial"/>
                <w:b/>
                <w:b/>
                <w:caps/>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jc w:val="center"/>
              <w:rPr>
                <w:rFonts w:ascii="Arial" w:hAnsi="Arial" w:cs="Arial"/>
                <w:b/>
                <w:b/>
                <w:caps/>
                <w:sz w:val="20"/>
                <w:szCs w:val="20"/>
              </w:rPr>
            </w:pPr>
            <w:r>
              <w:rPr>
                <w:rFonts w:cs="Arial" w:ascii="Arial" w:hAnsi="Arial"/>
                <w:b/>
                <w:caps/>
                <w:sz w:val="20"/>
                <w:szCs w:val="20"/>
              </w:rPr>
              <w:t xml:space="preserve">Cadre de compagnie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rPr>
            </w:pPr>
            <w:r>
              <w:rPr>
                <w:rFonts w:cs="Arial" w:ascii="Arial" w:hAnsi="Arial"/>
              </w:rPr>
              <w:t xml:space="preserve">Localisation géographique : </w:t>
            </w:r>
            <w:r>
              <w:rPr>
                <w:rFonts w:cs="Arial" w:ascii="Arial" w:hAnsi="Arial"/>
                <w:b/>
                <w:bCs/>
                <w:shd w:fill="auto" w:val="clear"/>
              </w:rPr>
              <w:t>La Guyane</w:t>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En 2024, jusqu’à 5 séjours de cohésion/classes et lycées engagées seront proposés :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numPr>
                <w:ilvl w:val="0"/>
                <w:numId w:val="10"/>
              </w:numPr>
              <w:rPr>
                <w:rFonts w:ascii="Arial" w:hAnsi="Arial" w:eastAsia="Times New Roman" w:cs="Arial"/>
                <w:kern w:val="0"/>
                <w:sz w:val="20"/>
                <w:szCs w:val="20"/>
              </w:rPr>
            </w:pPr>
            <w:r>
              <w:rPr>
                <w:rStyle w:val="Accentuationforte"/>
                <w:rFonts w:eastAsia="Times New Roman" w:cs="Arial" w:ascii="Arial" w:hAnsi="Arial"/>
                <w:kern w:val="0"/>
                <w:sz w:val="20"/>
                <w:szCs w:val="20"/>
              </w:rPr>
              <w:t>Pendant le temps scolaire :</w:t>
            </w:r>
          </w:p>
          <w:p>
            <w:pPr>
              <w:pStyle w:val="Corpsdetexte"/>
              <w:widowControl w:val="false"/>
              <w:spacing w:lineRule="auto" w:line="240" w:before="0" w:after="0"/>
              <w:rPr/>
            </w:pPr>
            <w:r>
              <w:rPr>
                <w:rStyle w:val="Textenonproportionnel"/>
                <w:rFonts w:ascii="Arial" w:hAnsi="Arial"/>
                <w:b w:val="false"/>
                <w:sz w:val="20"/>
                <w:szCs w:val="20"/>
              </w:rPr>
              <w:t>Séjour 1: Du 11 au 23 mars 2024</w:t>
              <w:br/>
              <w:t>Séjour 2: Du 25 mars au 5 avril 2024</w:t>
              <w:br/>
              <w:t>Séjour 3: Du 13 au 24 mai 2024</w:t>
            </w:r>
          </w:p>
          <w:p>
            <w:pPr>
              <w:pStyle w:val="Corpsdetexte"/>
              <w:widowControl w:val="false"/>
              <w:spacing w:lineRule="auto" w:line="240" w:before="0" w:after="0"/>
              <w:rPr>
                <w:rStyle w:val="Textenonproportionnel"/>
                <w:rFonts w:ascii="Arial" w:hAnsi="Arial"/>
                <w:b w:val="false"/>
                <w:b w:val="false"/>
                <w:sz w:val="20"/>
                <w:szCs w:val="20"/>
              </w:rPr>
            </w:pPr>
            <w:r>
              <w:rPr>
                <w:rFonts w:ascii="Arial" w:hAnsi="Arial"/>
                <w:b w:val="false"/>
                <w:sz w:val="20"/>
                <w:szCs w:val="20"/>
              </w:rPr>
            </w:r>
          </w:p>
          <w:p>
            <w:pPr>
              <w:pStyle w:val="Corpsdetexte"/>
              <w:widowControl w:val="false"/>
              <w:numPr>
                <w:ilvl w:val="0"/>
                <w:numId w:val="3"/>
              </w:numPr>
              <w:tabs>
                <w:tab w:val="clear" w:pos="708"/>
                <w:tab w:val="left" w:pos="0" w:leader="none"/>
              </w:tabs>
              <w:spacing w:lineRule="auto" w:line="240" w:before="0" w:after="0"/>
              <w:ind w:hanging="0"/>
              <w:rPr/>
            </w:pPr>
            <w:r>
              <w:rPr>
                <w:rStyle w:val="Accentuationforte"/>
                <w:rFonts w:ascii="Arial" w:hAnsi="Arial"/>
                <w:sz w:val="20"/>
                <w:szCs w:val="20"/>
              </w:rPr>
              <w:t>Hors temps scolaire :</w:t>
            </w:r>
          </w:p>
          <w:p>
            <w:pPr>
              <w:pStyle w:val="Corpsdetexte"/>
              <w:widowControl w:val="false"/>
              <w:spacing w:lineRule="auto" w:line="240" w:before="0" w:after="0"/>
              <w:rPr>
                <w:rFonts w:ascii="Arial" w:hAnsi="Arial" w:cs="Arial"/>
                <w:sz w:val="20"/>
                <w:szCs w:val="20"/>
              </w:rPr>
            </w:pPr>
            <w:r>
              <w:rPr>
                <w:rStyle w:val="Textenonproportionnel"/>
                <w:rFonts w:ascii="Arial" w:hAnsi="Arial"/>
                <w:b w:val="false"/>
                <w:sz w:val="20"/>
                <w:szCs w:val="20"/>
              </w:rPr>
              <w:t xml:space="preserve">Séjour </w:t>
            </w:r>
            <w:r>
              <w:rPr>
                <w:rStyle w:val="Textenonproportionnel"/>
                <w:rFonts w:ascii="Arial" w:hAnsi="Arial"/>
                <w:b w:val="false"/>
                <w:sz w:val="20"/>
                <w:szCs w:val="20"/>
              </w:rPr>
              <w:t xml:space="preserve">4 et 5 </w:t>
            </w:r>
            <w:r>
              <w:rPr>
                <w:rStyle w:val="Textenonproportionnel"/>
                <w:rFonts w:ascii="Arial" w:hAnsi="Arial"/>
                <w:b w:val="false"/>
                <w:sz w:val="20"/>
                <w:szCs w:val="20"/>
              </w:rPr>
              <w:t xml:space="preserve">: Du </w:t>
            </w:r>
            <w:r>
              <w:rPr>
                <w:rStyle w:val="Textenonproportionnel"/>
                <w:rFonts w:ascii="Arial" w:hAnsi="Arial"/>
                <w:b w:val="false"/>
                <w:sz w:val="20"/>
                <w:szCs w:val="20"/>
              </w:rPr>
              <w:t>0</w:t>
            </w:r>
            <w:r>
              <w:rPr>
                <w:rStyle w:val="Textenonproportionnel"/>
                <w:rFonts w:ascii="Arial" w:hAnsi="Arial"/>
                <w:b w:val="false"/>
                <w:sz w:val="20"/>
                <w:szCs w:val="20"/>
              </w:rPr>
              <w:t xml:space="preserve">3 au </w:t>
            </w:r>
            <w:r>
              <w:rPr>
                <w:rStyle w:val="Textenonproportionnel"/>
                <w:rFonts w:ascii="Arial" w:hAnsi="Arial"/>
                <w:b w:val="false"/>
                <w:sz w:val="20"/>
                <w:szCs w:val="20"/>
              </w:rPr>
              <w:t>15 juillet</w:t>
            </w:r>
            <w:r>
              <w:rPr>
                <w:rStyle w:val="Textenonproportionnel"/>
                <w:rFonts w:ascii="Arial" w:hAnsi="Arial"/>
                <w:b w:val="false"/>
                <w:sz w:val="20"/>
                <w:szCs w:val="20"/>
              </w:rPr>
              <w:t xml:space="preserve"> 2024</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Des jours de formation/préparation et suivi (de 2 à 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b/>
                <w:b/>
                <w:bCs/>
              </w:rPr>
            </w:pPr>
            <w:r>
              <w:rPr>
                <w:rFonts w:eastAsia="Times New Roman" w:cs="Arial" w:ascii="Arial" w:hAnsi="Arial"/>
                <w:b/>
                <w:bCs/>
                <w:kern w:val="0"/>
                <w:sz w:val="20"/>
                <w:szCs w:val="20"/>
              </w:rPr>
              <w:t>Possibilité de candidater à plusieurs sessions.</w:t>
            </w:r>
          </w:p>
          <w:p>
            <w:pPr>
              <w:pStyle w:val="Normal"/>
              <w:widowControl w:val="false"/>
              <w:rPr>
                <w:rFonts w:ascii="Arial" w:hAnsi="Arial" w:eastAsia="Times New Roman" w:cs="Arial"/>
                <w:kern w:val="0"/>
                <w:sz w:val="20"/>
                <w:szCs w:val="20"/>
              </w:rPr>
            </w:pPr>
            <w:r>
              <w:rPr>
                <w:b/>
                <w:bCs/>
              </w:rPr>
            </w:r>
          </w:p>
        </w:tc>
      </w:tr>
      <w:tr>
        <w:trPr/>
        <w:tc>
          <w:tcPr>
            <w:tcW w:w="10695" w:type="dxa"/>
            <w:tcBorders>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Cadre de compagnie</w:t>
            </w:r>
          </w:p>
        </w:tc>
      </w:tr>
      <w:tr>
        <w:trPr>
          <w:trHeight w:val="304"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Conditions particulières d’exercice :</w:t>
            </w:r>
          </w:p>
          <w:p>
            <w:pPr>
              <w:pStyle w:val="ListParagraph"/>
              <w:widowControl w:val="false"/>
              <w:ind w:left="0" w:hanging="0"/>
              <w:jc w:val="both"/>
              <w:rPr>
                <w:rFonts w:ascii="Arial" w:hAnsi="Arial" w:cs="Arial"/>
                <w:sz w:val="20"/>
                <w:szCs w:val="20"/>
              </w:rPr>
            </w:pPr>
            <w:r>
              <w:rPr>
                <w:rFonts w:cs="Arial" w:ascii="Arial" w:hAnsi="Arial"/>
                <w:sz w:val="20"/>
                <w:szCs w:val="20"/>
              </w:rPr>
              <w:t>Astreinte de nuit et logement sur site (hébergement et pension complète compris)</w:t>
            </w:r>
          </w:p>
          <w:p>
            <w:pPr>
              <w:pStyle w:val="ListParagraph"/>
              <w:widowControl w:val="false"/>
              <w:ind w:left="0" w:hanging="0"/>
              <w:jc w:val="both"/>
              <w:rPr>
                <w:rFonts w:ascii="Arial" w:hAnsi="Arial" w:cs="Arial"/>
                <w:sz w:val="20"/>
                <w:szCs w:val="20"/>
              </w:rPr>
            </w:pPr>
            <w:r>
              <w:rPr>
                <w:rFonts w:cs="Arial" w:ascii="Arial" w:hAnsi="Arial"/>
                <w:sz w:val="20"/>
                <w:szCs w:val="20"/>
              </w:rPr>
              <w:t>Tenue fournie et obligatoire pour l’encadrement durant le séjour</w:t>
            </w:r>
          </w:p>
          <w:p>
            <w:pPr>
              <w:pStyle w:val="Normal"/>
              <w:widowControl w:val="false"/>
              <w:rPr/>
            </w:pPr>
            <w:r>
              <w:rPr/>
            </w:r>
          </w:p>
        </w:tc>
      </w:tr>
      <w:tr>
        <w:trPr>
          <w:trHeight w:val="7425" w:hRule="atLeast"/>
        </w:trPr>
        <w:tc>
          <w:tcPr>
            <w:tcW w:w="10695" w:type="dxa"/>
            <w:tcBorders>
              <w:top w:val="single" w:sz="4" w:space="0" w:color="999999"/>
              <w:left w:val="single" w:sz="4" w:space="0" w:color="999999"/>
              <w:right w:val="single" w:sz="4" w:space="0" w:color="999999"/>
            </w:tcBorders>
            <w:shd w:color="auto" w:fill="D9D9D9" w:themeFill="background1" w:themeFillShade="d9" w:val="clear"/>
          </w:tcPr>
          <w:p>
            <w:pPr>
              <w:pStyle w:val="Titre2"/>
              <w:widowControl w:val="false"/>
              <w:spacing w:before="120" w:after="120"/>
              <w:jc w:val="both"/>
              <w:rPr>
                <w:rFonts w:ascii="Arial" w:hAnsi="Arial" w:cs="Arial"/>
              </w:rPr>
            </w:pPr>
            <w:r>
              <w:rPr>
                <w:rFonts w:cs="Arial" w:ascii="Arial" w:hAnsi="Arial"/>
                <w:u w:val="single"/>
              </w:rPr>
              <w:t>Description du dispositif</w:t>
            </w:r>
            <w:r>
              <w:rPr>
                <w:rFonts w:cs="Arial" w:ascii="Arial" w:hAnsi="Arial"/>
              </w:rPr>
              <w:t xml:space="preserve">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7"/>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7"/>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7"/>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s’adresse aux jeunes entre 15 à 17 ans sur la base du volontariat.</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parcours SNU s’articule en 2 étapes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9"/>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9"/>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tc>
      </w:tr>
      <w:tr>
        <w:trPr>
          <w:trHeight w:val="92" w:hRule="atLeast"/>
        </w:trPr>
        <w:tc>
          <w:tcPr>
            <w:tcW w:w="10695" w:type="dxa"/>
            <w:tcBorders>
              <w:top w:val="single" w:sz="4" w:space="0" w:color="999999"/>
              <w:left w:val="single" w:sz="4" w:space="0" w:color="999999"/>
              <w:right w:val="single" w:sz="4" w:space="0" w:color="999999"/>
            </w:tcBorders>
            <w:shd w:color="auto" w:fill="auto" w:val="clear"/>
          </w:tcPr>
          <w:p>
            <w:pPr>
              <w:pStyle w:val="Titre2"/>
              <w:widowControl w:val="false"/>
              <w:spacing w:before="120" w:after="120"/>
              <w:jc w:val="both"/>
              <w:rPr>
                <w:rFonts w:ascii="Arial" w:hAnsi="Arial" w:cs="Arial"/>
                <w:u w:val="single"/>
              </w:rPr>
            </w:pPr>
            <w:r>
              <w:rPr>
                <w:rFonts w:cs="Arial" w:ascii="Arial" w:hAnsi="Arial"/>
                <w:u w:val="single"/>
              </w:rPr>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 xml:space="preserve">Descriptif de la structure :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 :</w:t>
            </w:r>
            <w:r>
              <w:rPr>
                <w:rFonts w:cs="Arial" w:ascii="Arial" w:hAnsi="Arial"/>
              </w:rPr>
              <w:t xml:space="preserve">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4"/>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4"/>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 approche pédagogique, volet sanitaires… (2 ou 3 en fonction de la taille des centres)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rPr/>
            </w:pPr>
            <w:r>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Le cadre de compagnie bénéficie d’une expérience avérée dans le domaine de l’encadrement de la jeunesse, soit dans les mouvements d’éducation populaire, soit à l’Éducation nationale ou encore dans les corps en uniforme.</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 xml:space="preserve">Il encadre les tuteurs de maisonnée, avec lesquels il est en lien permanent. À son niveau de responsabilité intermédiaire, il traduit le projet pédagogique du centre en objectifs de compagnie. </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Il est soucieux du bon déroulement des activités et de l’adhésion de tous, dans un esprit participatif et inclusif.</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En lien avec le chef de centre, le cadre de compagnie par sa connaissance fine des volontaires de la compagnie rend compte des difficultés rencontrées et prend des mesures de suivi post-séjour de cohésion, si nécessaire.</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t>Ainsi, les responsabilités des cadres des compagnies s’exercent dans trois domaines principaux.</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ListParagraph"/>
              <w:widowControl w:val="false"/>
              <w:numPr>
                <w:ilvl w:val="0"/>
                <w:numId w:val="8"/>
              </w:numPr>
              <w:rPr>
                <w:rFonts w:ascii="Arial" w:hAnsi="Arial" w:cs="Arial"/>
                <w:sz w:val="20"/>
                <w:szCs w:val="20"/>
              </w:rPr>
            </w:pPr>
            <w:r>
              <w:rPr>
                <w:rFonts w:cs="Arial" w:ascii="Arial" w:hAnsi="Arial"/>
                <w:sz w:val="20"/>
                <w:szCs w:val="20"/>
              </w:rPr>
              <w:t>Encadrement des tuteurs de maisonnées (3 à 5 maisonnées)</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Faire connaître et respecter le règlement intérieur</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Appuyer les tuteurs de maisonnées dans leur rôle éducatif </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Organiser les missions des tuteurs </w:t>
            </w:r>
          </w:p>
          <w:p>
            <w:pPr>
              <w:pStyle w:val="ListParagraph"/>
              <w:widowControl w:val="false"/>
              <w:numPr>
                <w:ilvl w:val="0"/>
                <w:numId w:val="4"/>
              </w:numPr>
              <w:rPr>
                <w:rFonts w:ascii="Arial" w:hAnsi="Arial" w:cs="Arial"/>
                <w:sz w:val="20"/>
                <w:szCs w:val="20"/>
              </w:rPr>
            </w:pPr>
            <w:r>
              <w:rPr>
                <w:rFonts w:cs="Arial" w:ascii="Arial" w:hAnsi="Arial"/>
                <w:sz w:val="20"/>
                <w:szCs w:val="20"/>
              </w:rPr>
              <w:t>Assurer le dialogue avec l’équipe de direction</w:t>
            </w:r>
          </w:p>
          <w:p>
            <w:pPr>
              <w:pStyle w:val="ListParagraph"/>
              <w:widowControl w:val="false"/>
              <w:numPr>
                <w:ilvl w:val="0"/>
                <w:numId w:val="4"/>
              </w:numPr>
              <w:rPr>
                <w:rFonts w:ascii="Arial" w:hAnsi="Arial" w:cs="Arial"/>
                <w:sz w:val="20"/>
                <w:szCs w:val="20"/>
              </w:rPr>
            </w:pPr>
            <w:r>
              <w:rPr>
                <w:rFonts w:cs="Arial" w:ascii="Arial" w:hAnsi="Arial"/>
                <w:sz w:val="20"/>
                <w:szCs w:val="20"/>
              </w:rPr>
              <w:t xml:space="preserve">Identifier, prévenir, régler ou rendre compte des difficultés ou des tensions </w:t>
            </w:r>
          </w:p>
          <w:p>
            <w:pPr>
              <w:pStyle w:val="ListParagraph"/>
              <w:widowControl w:val="false"/>
              <w:numPr>
                <w:ilvl w:val="0"/>
                <w:numId w:val="4"/>
              </w:numPr>
              <w:rPr>
                <w:rFonts w:ascii="Arial" w:hAnsi="Arial" w:cs="Arial"/>
                <w:sz w:val="20"/>
                <w:szCs w:val="20"/>
              </w:rPr>
            </w:pPr>
            <w:r>
              <w:rPr>
                <w:rFonts w:cs="Arial" w:ascii="Arial" w:hAnsi="Arial"/>
                <w:sz w:val="20"/>
                <w:szCs w:val="20"/>
              </w:rPr>
              <w:t>Organiser et participer aux charges de sécurité de jour et de nuit</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8"/>
              </w:numPr>
              <w:rPr>
                <w:rFonts w:ascii="Arial" w:hAnsi="Arial" w:cs="Arial"/>
                <w:sz w:val="20"/>
                <w:szCs w:val="20"/>
              </w:rPr>
            </w:pPr>
            <w:r>
              <w:rPr>
                <w:rFonts w:cs="Arial" w:ascii="Arial" w:hAnsi="Arial"/>
                <w:sz w:val="20"/>
                <w:szCs w:val="20"/>
              </w:rPr>
              <w:t>Faire vivre la démocratie interne et l’éducation à la citoyenneté</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Aider les tuteurs dans l’organisation des temps de démocratie interne</w:t>
            </w:r>
          </w:p>
          <w:p>
            <w:pPr>
              <w:pStyle w:val="ListParagraph"/>
              <w:widowControl w:val="false"/>
              <w:numPr>
                <w:ilvl w:val="0"/>
                <w:numId w:val="4"/>
              </w:numPr>
              <w:rPr>
                <w:rFonts w:ascii="Arial" w:hAnsi="Arial" w:cs="Arial"/>
                <w:sz w:val="20"/>
                <w:szCs w:val="20"/>
              </w:rPr>
            </w:pPr>
            <w:r>
              <w:rPr>
                <w:rFonts w:cs="Arial" w:ascii="Arial" w:hAnsi="Arial"/>
                <w:sz w:val="20"/>
                <w:szCs w:val="20"/>
              </w:rPr>
              <w:t>Participer à l’acquisition des savoir-être, de l’autonomie et de la citoyenneté</w:t>
            </w:r>
          </w:p>
          <w:p>
            <w:pPr>
              <w:pStyle w:val="Normal"/>
              <w:widowControl w:val="false"/>
              <w:rPr>
                <w:rFonts w:ascii="Arial" w:hAnsi="Arial" w:cs="Arial"/>
                <w:sz w:val="20"/>
                <w:szCs w:val="20"/>
              </w:rPr>
            </w:pPr>
            <w:r>
              <w:rPr>
                <w:rFonts w:cs="Arial" w:ascii="Arial" w:hAnsi="Arial"/>
                <w:sz w:val="20"/>
                <w:szCs w:val="20"/>
              </w:rPr>
            </w:r>
          </w:p>
          <w:p>
            <w:pPr>
              <w:pStyle w:val="ListParagraph"/>
              <w:widowControl w:val="false"/>
              <w:numPr>
                <w:ilvl w:val="0"/>
                <w:numId w:val="8"/>
              </w:numPr>
              <w:rPr>
                <w:rFonts w:ascii="Arial" w:hAnsi="Arial" w:cs="Arial"/>
                <w:sz w:val="20"/>
                <w:szCs w:val="20"/>
              </w:rPr>
            </w:pPr>
            <w:r>
              <w:rPr>
                <w:rFonts w:cs="Arial" w:ascii="Arial" w:hAnsi="Arial"/>
                <w:sz w:val="20"/>
                <w:szCs w:val="20"/>
              </w:rPr>
              <w:t>Développer le sens du service et de la solidarité</w:t>
            </w:r>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4"/>
              </w:numPr>
              <w:rPr>
                <w:rFonts w:ascii="Arial" w:hAnsi="Arial" w:cs="Arial"/>
                <w:sz w:val="20"/>
                <w:szCs w:val="20"/>
              </w:rPr>
            </w:pPr>
            <w:r>
              <w:rPr>
                <w:rFonts w:cs="Arial" w:ascii="Arial" w:hAnsi="Arial"/>
                <w:sz w:val="20"/>
                <w:szCs w:val="20"/>
              </w:rPr>
              <w:t>S’assurer de l’inclusion effective des volontaires à besoins éducatifs particuliers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 xml:space="preserve">Enfin, en fonction de leurs compétences (expérience ou formation), les cadres de compagnie sont amenés à participer ponctuellement à la formation des volontaires dans les modules collectifs. </w:t>
            </w:r>
            <w:bookmarkStart w:id="0" w:name="_GoBack"/>
            <w:bookmarkEnd w:id="0"/>
          </w:p>
          <w:p>
            <w:pPr>
              <w:pStyle w:val="Normal"/>
              <w:widowControl w:val="false"/>
              <w:suppressAutoHyphens w:val="false"/>
              <w:textAlignment w:val="auto"/>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1" w:name="__Fieldmark__112_785329342"/>
            <w:bookmarkStart w:id="2" w:name="__Fieldmark__112_785329342"/>
            <w:bookmarkEnd w:id="2"/>
            <w:r>
              <w:rPr>
                <w:rFonts w:ascii="Arial" w:hAnsi="Arial"/>
                <w:sz w:val="20"/>
                <w:szCs w:val="20"/>
              </w:rPr>
            </w:r>
            <w:r>
              <w:rPr>
                <w:sz w:val="20"/>
                <w:szCs w:val="20"/>
                <w:rFonts w:ascii="Arial" w:hAnsi="Arial"/>
              </w:rPr>
              <w:fldChar w:fldCharType="end"/>
            </w:r>
            <w:bookmarkStart w:id="3" w:name="__Fieldmark__641_1339067865"/>
            <w:bookmarkEnd w:id="3"/>
            <w:r>
              <w:rPr>
                <w:rFonts w:cs="Arial" w:ascii="Arial" w:hAnsi="Arial"/>
                <w:sz w:val="20"/>
                <w:szCs w:val="20"/>
                <w:shd w:fill="D9D9D9" w:val="clear"/>
              </w:rPr>
              <w:t xml:space="preserve"> Ce poste est ouvert aux agents sans expérience professionnelle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4" w:name="__Fieldmark__120_785329342"/>
            <w:bookmarkStart w:id="5" w:name="__Fieldmark__120_785329342"/>
            <w:bookmarkEnd w:id="5"/>
            <w:r>
              <w:rPr>
                <w:rFonts w:ascii="Arial" w:hAnsi="Arial"/>
                <w:sz w:val="20"/>
                <w:szCs w:val="20"/>
              </w:rPr>
            </w:r>
            <w:r>
              <w:rPr>
                <w:sz w:val="20"/>
                <w:szCs w:val="20"/>
                <w:rFonts w:ascii="Arial" w:hAnsi="Arial"/>
              </w:rPr>
              <w:fldChar w:fldCharType="end"/>
            </w:r>
            <w:bookmarkStart w:id="6" w:name="__Fieldmark__645_1339067865"/>
            <w:bookmarkEnd w:id="6"/>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initiale</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7" w:name="__Fieldmark__129_785329342"/>
            <w:bookmarkStart w:id="8" w:name="__Fieldmark__129_785329342"/>
            <w:bookmarkEnd w:id="8"/>
            <w:r>
              <w:rPr>
                <w:rFonts w:ascii="Arial" w:hAnsi="Arial"/>
                <w:sz w:val="20"/>
                <w:szCs w:val="20"/>
              </w:rPr>
            </w:r>
            <w:r>
              <w:rPr>
                <w:sz w:val="20"/>
                <w:szCs w:val="20"/>
                <w:rFonts w:ascii="Arial" w:hAnsi="Arial"/>
              </w:rPr>
              <w:fldChar w:fldCharType="end"/>
            </w:r>
            <w:bookmarkStart w:id="9" w:name="__Fieldmark__650_1339067865"/>
            <w:bookmarkEnd w:id="9"/>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tc>
      </w:tr>
    </w:tbl>
    <w:tbl>
      <w:tblPr>
        <w:tblpPr w:bottomFromText="0" w:horzAnchor="margin" w:leftFromText="141" w:rightFromText="141" w:tblpX="0" w:tblpY="627" w:topFromText="0" w:vertAnchor="text"/>
        <w:tblW w:w="10773"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1"/>
        <w:gridCol w:w="81"/>
      </w:tblGrid>
      <w:tr>
        <w:trPr>
          <w:trHeight w:val="361" w:hRule="atLeast"/>
        </w:trPr>
        <w:tc>
          <w:tcPr>
            <w:tcW w:w="10691" w:type="dxa"/>
            <w:tcBorders>
              <w:bottom w:val="single" w:sz="4" w:space="0" w:color="000000"/>
            </w:tcBorders>
          </w:tcPr>
          <w:p>
            <w:pPr>
              <w:pStyle w:val="Titre1"/>
              <w:widowControl w:val="false"/>
              <w:spacing w:before="240" w:after="60"/>
              <w:rPr>
                <w:rFonts w:ascii="Arial" w:hAnsi="Arial" w:cs="Arial"/>
              </w:rPr>
            </w:pPr>
            <w:r>
              <w:rPr>
                <w:rFonts w:cs="Arial" w:ascii="Arial" w:hAnsi="Arial"/>
              </w:rPr>
              <w:t xml:space="preserve">Les connaissances et compétences mises en œuvre </w:t>
            </w:r>
          </w:p>
        </w:tc>
        <w:tc>
          <w:tcPr>
            <w:tcW w:w="81" w:type="dxa"/>
            <w:tcBorders/>
          </w:tcPr>
          <w:p>
            <w:pPr>
              <w:pStyle w:val="Normal"/>
              <w:widowControl w:val="false"/>
              <w:rPr/>
            </w:pPr>
            <w:r>
              <w:rPr/>
            </w:r>
          </w:p>
        </w:tc>
      </w:tr>
      <w:tr>
        <w:trPr>
          <w:trHeight w:val="378" w:hRule="atLeast"/>
        </w:trPr>
        <w:tc>
          <w:tcPr>
            <w:tcW w:w="10691"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Connaissances :</w:t>
            </w:r>
          </w:p>
          <w:p>
            <w:pPr>
              <w:pStyle w:val="ListParagraph"/>
              <w:widowControl w:val="false"/>
              <w:numPr>
                <w:ilvl w:val="0"/>
                <w:numId w:val="5"/>
              </w:numPr>
              <w:rPr>
                <w:rFonts w:ascii="Arial" w:hAnsi="Arial" w:cs="Arial"/>
                <w:sz w:val="20"/>
                <w:szCs w:val="20"/>
              </w:rPr>
            </w:pPr>
            <w:r>
              <w:rPr>
                <w:rFonts w:cs="Arial" w:ascii="Arial" w:hAnsi="Arial"/>
                <w:sz w:val="20"/>
                <w:szCs w:val="20"/>
              </w:rPr>
              <w:t>Formation BAFA/ BAFD ou qualification équivalente </w:t>
            </w:r>
          </w:p>
          <w:p>
            <w:pPr>
              <w:pStyle w:val="ListParagraph"/>
              <w:widowControl w:val="false"/>
              <w:numPr>
                <w:ilvl w:val="0"/>
                <w:numId w:val="5"/>
              </w:numPr>
              <w:rPr>
                <w:rFonts w:ascii="Arial" w:hAnsi="Arial" w:cs="Arial"/>
                <w:sz w:val="20"/>
                <w:szCs w:val="20"/>
              </w:rPr>
            </w:pPr>
            <w:r>
              <w:rPr>
                <w:rFonts w:cs="Arial" w:ascii="Arial" w:hAnsi="Arial"/>
                <w:sz w:val="20"/>
                <w:szCs w:val="20"/>
              </w:rPr>
              <w:t>Bases de psychologie de l’adolescent </w:t>
            </w:r>
          </w:p>
          <w:p>
            <w:pPr>
              <w:pStyle w:val="ListParagraph"/>
              <w:widowControl w:val="false"/>
              <w:numPr>
                <w:ilvl w:val="0"/>
                <w:numId w:val="5"/>
              </w:numPr>
              <w:rPr>
                <w:rFonts w:ascii="Arial" w:hAnsi="Arial" w:cs="Arial"/>
                <w:sz w:val="20"/>
                <w:szCs w:val="20"/>
              </w:rPr>
            </w:pPr>
            <w:r>
              <w:rPr>
                <w:rFonts w:cs="Arial" w:ascii="Arial" w:hAnsi="Arial"/>
                <w:sz w:val="20"/>
                <w:szCs w:val="20"/>
              </w:rPr>
              <w:t>Identification des risques psycho-sociaux </w:t>
            </w:r>
          </w:p>
          <w:p>
            <w:pPr>
              <w:pStyle w:val="ListParagraph"/>
              <w:widowControl w:val="false"/>
              <w:numPr>
                <w:ilvl w:val="0"/>
                <w:numId w:val="5"/>
              </w:numPr>
              <w:rPr>
                <w:rFonts w:ascii="Arial" w:hAnsi="Arial" w:cs="Arial"/>
                <w:sz w:val="20"/>
                <w:szCs w:val="20"/>
              </w:rPr>
            </w:pPr>
            <w:r>
              <w:rPr>
                <w:rFonts w:cs="Arial" w:ascii="Arial" w:hAnsi="Arial"/>
                <w:sz w:val="20"/>
                <w:szCs w:val="20"/>
              </w:rPr>
              <w:t>Sécurité physique et morale des mineurs </w:t>
            </w:r>
          </w:p>
          <w:p>
            <w:pPr>
              <w:pStyle w:val="ListParagraph"/>
              <w:widowControl w:val="false"/>
              <w:numPr>
                <w:ilvl w:val="0"/>
                <w:numId w:val="5"/>
              </w:numPr>
              <w:rPr>
                <w:rFonts w:ascii="Arial" w:hAnsi="Arial" w:cs="Arial"/>
                <w:sz w:val="20"/>
                <w:szCs w:val="20"/>
              </w:rPr>
            </w:pPr>
            <w:r>
              <w:rPr>
                <w:rFonts w:cs="Arial" w:ascii="Arial" w:hAnsi="Arial"/>
                <w:sz w:val="20"/>
                <w:szCs w:val="20"/>
              </w:rPr>
              <w:t>Gestion de crise</w:t>
            </w:r>
          </w:p>
          <w:p>
            <w:pPr>
              <w:pStyle w:val="ListParagraph"/>
              <w:widowControl w:val="false"/>
              <w:rPr>
                <w:rFonts w:ascii="Arial" w:hAnsi="Arial" w:cs="Arial"/>
                <w:sz w:val="20"/>
                <w:szCs w:val="20"/>
              </w:rPr>
            </w:pPr>
            <w:r>
              <w:rPr>
                <w:rFonts w:cs="Arial" w:ascii="Arial" w:hAnsi="Arial"/>
                <w:sz w:val="20"/>
                <w:szCs w:val="20"/>
              </w:rPr>
            </w:r>
          </w:p>
        </w:tc>
        <w:tc>
          <w:tcPr>
            <w:tcW w:w="81" w:type="dxa"/>
            <w:tcBorders/>
          </w:tcPr>
          <w:p>
            <w:pPr>
              <w:pStyle w:val="Normal"/>
              <w:widowControl w:val="false"/>
              <w:rPr/>
            </w:pPr>
            <w:r>
              <w:rPr/>
            </w:r>
          </w:p>
        </w:tc>
      </w:tr>
      <w:tr>
        <w:trPr>
          <w:trHeight w:val="378" w:hRule="atLeast"/>
        </w:trPr>
        <w:tc>
          <w:tcPr>
            <w:tcW w:w="10691"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Compétences :</w:t>
            </w:r>
          </w:p>
          <w:p>
            <w:pPr>
              <w:pStyle w:val="ListParagraph"/>
              <w:widowControl w:val="false"/>
              <w:numPr>
                <w:ilvl w:val="0"/>
                <w:numId w:val="6"/>
              </w:numPr>
              <w:rPr>
                <w:rFonts w:ascii="Arial" w:hAnsi="Arial" w:cs="Arial"/>
                <w:sz w:val="20"/>
                <w:szCs w:val="20"/>
              </w:rPr>
            </w:pPr>
            <w:r>
              <w:rPr>
                <w:rFonts w:cs="Arial" w:ascii="Arial" w:hAnsi="Arial"/>
                <w:sz w:val="20"/>
                <w:szCs w:val="20"/>
              </w:rPr>
              <w:t>Animer une équipe, fédérer des énergies, créer de la cohésion </w:t>
            </w:r>
          </w:p>
          <w:p>
            <w:pPr>
              <w:pStyle w:val="ListParagraph"/>
              <w:widowControl w:val="false"/>
              <w:numPr>
                <w:ilvl w:val="0"/>
                <w:numId w:val="6"/>
              </w:numPr>
              <w:rPr>
                <w:rFonts w:ascii="Arial" w:hAnsi="Arial" w:cs="Arial"/>
                <w:sz w:val="20"/>
                <w:szCs w:val="20"/>
              </w:rPr>
            </w:pPr>
            <w:r>
              <w:rPr>
                <w:rFonts w:cs="Arial" w:ascii="Arial" w:hAnsi="Arial"/>
                <w:sz w:val="20"/>
                <w:szCs w:val="20"/>
              </w:rPr>
              <w:t>Capacité d’écoute et réactivité </w:t>
            </w:r>
          </w:p>
          <w:p>
            <w:pPr>
              <w:pStyle w:val="ListParagraph"/>
              <w:widowControl w:val="false"/>
              <w:numPr>
                <w:ilvl w:val="0"/>
                <w:numId w:val="6"/>
              </w:numPr>
              <w:rPr>
                <w:rFonts w:ascii="Arial" w:hAnsi="Arial" w:cs="Arial"/>
                <w:sz w:val="20"/>
                <w:szCs w:val="20"/>
              </w:rPr>
            </w:pPr>
            <w:r>
              <w:rPr>
                <w:rFonts w:cs="Arial" w:ascii="Arial" w:hAnsi="Arial"/>
                <w:sz w:val="20"/>
                <w:szCs w:val="20"/>
              </w:rPr>
              <w:t>Capacité de leadership et maîtrise de soi</w:t>
            </w:r>
          </w:p>
          <w:p>
            <w:pPr>
              <w:pStyle w:val="ListParagraph"/>
              <w:widowControl w:val="false"/>
              <w:numPr>
                <w:ilvl w:val="0"/>
                <w:numId w:val="6"/>
              </w:numPr>
              <w:rPr>
                <w:rFonts w:ascii="Arial" w:hAnsi="Arial" w:cs="Arial"/>
                <w:sz w:val="20"/>
                <w:szCs w:val="20"/>
              </w:rPr>
            </w:pPr>
            <w:r>
              <w:rPr>
                <w:rFonts w:cs="Arial" w:ascii="Arial" w:hAnsi="Arial"/>
                <w:sz w:val="20"/>
                <w:szCs w:val="20"/>
              </w:rPr>
              <w:t>Exemplarité, intégrité et rigueur dans le comportement </w:t>
            </w:r>
          </w:p>
          <w:p>
            <w:pPr>
              <w:pStyle w:val="ListParagraph"/>
              <w:widowControl w:val="false"/>
              <w:numPr>
                <w:ilvl w:val="0"/>
                <w:numId w:val="6"/>
              </w:numPr>
              <w:rPr>
                <w:rFonts w:ascii="Arial" w:hAnsi="Arial" w:cs="Arial"/>
                <w:sz w:val="20"/>
                <w:szCs w:val="20"/>
              </w:rPr>
            </w:pPr>
            <w:r>
              <w:rPr>
                <w:rFonts w:cs="Arial" w:ascii="Arial" w:hAnsi="Arial"/>
                <w:sz w:val="20"/>
                <w:szCs w:val="20"/>
              </w:rPr>
              <w:t>Expérience dans l’accompagnement des jeunes </w:t>
            </w:r>
          </w:p>
          <w:p>
            <w:pPr>
              <w:pStyle w:val="ListParagraph"/>
              <w:widowControl w:val="false"/>
              <w:numPr>
                <w:ilvl w:val="0"/>
                <w:numId w:val="6"/>
              </w:numPr>
              <w:rPr/>
            </w:pPr>
            <w:r>
              <w:rPr>
                <w:rFonts w:cs="Arial" w:ascii="Arial" w:hAnsi="Arial"/>
                <w:sz w:val="20"/>
                <w:szCs w:val="20"/>
              </w:rPr>
              <w:t>Expérience dans l’accueil et l’accompagnement de jeunes en situation de handicap ou à besoins particuliers</w:t>
            </w:r>
          </w:p>
          <w:p>
            <w:pPr>
              <w:pStyle w:val="ListParagraph"/>
              <w:widowControl w:val="false"/>
              <w:rPr/>
            </w:pPr>
            <w:r>
              <w:rPr/>
            </w:r>
          </w:p>
        </w:tc>
        <w:tc>
          <w:tcPr>
            <w:tcW w:w="81" w:type="dxa"/>
            <w:tcBorders/>
          </w:tcPr>
          <w:p>
            <w:pPr>
              <w:pStyle w:val="Normal"/>
              <w:widowControl w:val="false"/>
              <w:rPr/>
            </w:pPr>
            <w:r>
              <w:rPr/>
            </w:r>
          </w:p>
        </w:tc>
      </w:tr>
      <w:tr>
        <w:trPr>
          <w:trHeight w:val="378" w:hRule="atLeast"/>
        </w:trPr>
        <w:tc>
          <w:tcPr>
            <w:tcW w:w="10691"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Rémunération et cadre d’emploi : </w:t>
            </w:r>
            <w:r>
              <w:rPr>
                <w:rFonts w:eastAsia="Times New Roman" w:cs="Arial" w:ascii="Arial" w:hAnsi="Arial"/>
                <w:b w:val="false"/>
                <w:bCs w:val="false"/>
                <w:caps w:val="false"/>
                <w:smallCaps w:val="false"/>
                <w:kern w:val="0"/>
              </w:rPr>
              <w:t>en fonction de la situation statutaire, poste ouvert</w:t>
            </w:r>
            <w:r>
              <w:rPr>
                <w:rFonts w:cs="Arial" w:ascii="Arial" w:hAnsi="Arial"/>
              </w:rPr>
              <w:t xml:space="preserve"> </w:t>
            </w:r>
            <w:r>
              <w:rPr>
                <w:rFonts w:eastAsia="Times New Roman" w:cs="Arial" w:ascii="Arial" w:hAnsi="Arial"/>
                <w:b w:val="false"/>
                <w:bCs w:val="false"/>
                <w:caps w:val="false"/>
                <w:smallCaps w:val="false"/>
                <w:kern w:val="0"/>
              </w:rPr>
              <w:t xml:space="preserve">aux fonctionnaires en activité, statut privé, réservistes, retraités. </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91,90 bruts par jour (hors indemnité congé payé).</w:t>
            </w:r>
          </w:p>
          <w:p>
            <w:pPr>
              <w:pStyle w:val="Normal"/>
              <w:widowControl w:val="false"/>
              <w:rPr/>
            </w:pPr>
            <w:r>
              <w:rPr>
                <w:rFonts w:cs="Arial" w:ascii="Arial" w:hAnsi="Arial"/>
                <w:sz w:val="20"/>
                <w:szCs w:val="20"/>
              </w:rPr>
              <w:t>Personnels relevant du MENJS ainsi que les agents publics relevant de toute administration de l’État</w:t>
            </w:r>
            <w:r>
              <w:rPr>
                <w:rFonts w:eastAsia="Times New Roman" w:cs="Arial" w:ascii="Arial" w:hAnsi="Arial"/>
                <w:kern w:val="0"/>
                <w:sz w:val="20"/>
                <w:szCs w:val="20"/>
              </w:rPr>
              <w:t xml:space="preserve"> : – Indemnité par décret </w:t>
            </w:r>
            <w:r>
              <w:rPr>
                <w:rFonts w:cs="Calibri" w:ascii="Calibri" w:hAnsi="Calibri"/>
                <w:sz w:val="22"/>
                <w:szCs w:val="22"/>
                <w:lang w:eastAsia="en-US"/>
              </w:rPr>
              <w:t xml:space="preserve">n° 2022-343 du 10 mars 2022 </w:t>
            </w:r>
            <w:r>
              <w:rPr>
                <w:rFonts w:eastAsia="Times New Roman" w:cs="Arial" w:ascii="Arial" w:hAnsi="Arial"/>
                <w:kern w:val="0"/>
                <w:sz w:val="20"/>
                <w:szCs w:val="20"/>
              </w:rPr>
              <w:t>instituant une indemnité d’encadrement du service national universel.</w:t>
            </w:r>
          </w:p>
        </w:tc>
        <w:tc>
          <w:tcPr>
            <w:tcW w:w="81" w:type="dxa"/>
            <w:tcBorders/>
          </w:tcPr>
          <w:p>
            <w:pPr>
              <w:pStyle w:val="Normal"/>
              <w:widowControl w:val="false"/>
              <w:rPr/>
            </w:pPr>
            <w:r>
              <w:rPr/>
            </w:r>
          </w:p>
        </w:tc>
      </w:tr>
      <w:tr>
        <w:trPr>
          <w:trHeight w:val="486" w:hRule="atLeast"/>
        </w:trPr>
        <w:tc>
          <w:tcPr>
            <w:tcW w:w="10691" w:type="dxa"/>
            <w:tcBorders>
              <w:bottom w:val="single" w:sz="4" w:space="0" w:color="C0C0C0"/>
            </w:tcBorders>
          </w:tcPr>
          <w:p>
            <w:pPr>
              <w:pStyle w:val="Titre1"/>
              <w:widowControl w:val="false"/>
              <w:spacing w:before="240" w:after="60"/>
              <w:rPr>
                <w:rFonts w:ascii="Arial" w:hAnsi="Arial" w:cs="Arial"/>
              </w:rPr>
            </w:pPr>
            <w:r>
              <w:rPr>
                <w:rFonts w:cs="Arial" w:ascii="Arial" w:hAnsi="Arial"/>
              </w:rPr>
              <w:t>Vos contacts (nom, prénom, fonction, téléphone, adresse électronique)</w:t>
            </w:r>
          </w:p>
        </w:tc>
        <w:tc>
          <w:tcPr>
            <w:tcW w:w="81" w:type="dxa"/>
            <w:tcBorders/>
          </w:tcPr>
          <w:p>
            <w:pPr>
              <w:pStyle w:val="Normal"/>
              <w:widowControl w:val="false"/>
              <w:rPr/>
            </w:pPr>
            <w:r>
              <w:rPr/>
            </w:r>
          </w:p>
        </w:tc>
      </w:tr>
      <w:tr>
        <w:trPr>
          <w:trHeight w:val="645" w:hRule="atLeast"/>
        </w:trPr>
        <w:tc>
          <w:tcPr>
            <w:tcW w:w="10772" w:type="dxa"/>
            <w:gridSpan w:val="2"/>
            <w:tcBorders>
              <w:top w:val="single" w:sz="4" w:space="0" w:color="C0C0C0"/>
              <w:left w:val="single" w:sz="4" w:space="0" w:color="999999"/>
              <w:bottom w:val="single" w:sz="4" w:space="0" w:color="999999"/>
              <w:right w:val="single" w:sz="4" w:space="0" w:color="999999"/>
            </w:tcBorders>
            <w:shd w:color="auto" w:fill="D9D9D9" w:val="clear"/>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tc>
      </w:tr>
      <w:tr>
        <w:trPr/>
        <w:tc>
          <w:tcPr>
            <w:tcW w:w="10772" w:type="dxa"/>
            <w:gridSpan w:val="2"/>
            <w:tcBorders>
              <w:left w:val="single" w:sz="4" w:space="0" w:color="999999"/>
              <w:bottom w:val="single" w:sz="4" w:space="0" w:color="999999"/>
              <w:right w:val="single" w:sz="4" w:space="0" w:color="999999"/>
            </w:tcBorders>
            <w:shd w:color="auto" w:fill="D9D9D9" w:val="clear"/>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r>
    </w:tbl>
    <w:p>
      <w:pPr>
        <w:pStyle w:val="Normal"/>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9"/>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Textenonproportionnel">
    <w:name w:val="Texte non proportionnel"/>
    <w:qFormat/>
    <w:rPr>
      <w:rFonts w:ascii="Liberation Mono" w:hAnsi="Liberation Mono" w:eastAsia="Liberation Mono" w:cs="Liberation Mono"/>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a65a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1112</Words>
  <Characters>6506</Characters>
  <CharactersWithSpaces>7603</CharactersWithSpaces>
  <Paragraphs>15</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2023-12-11T11:16:59Z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